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trHeight w:val="405" w:hRule="atLeast"/>
        </w:trPr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jc w:val="center"/>
              <w:rPr>
                <w:b w:val="1"/>
                <w:i w:val="1"/>
                <w:color w:val="ffffff"/>
                <w:sz w:val="28"/>
                <w:szCs w:val="28"/>
              </w:rPr>
            </w:pPr>
            <w:bookmarkStart w:colFirst="0" w:colLast="0" w:name="_7gqr1puydj0z" w:id="0"/>
            <w:bookmarkEnd w:id="0"/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TEACHING SCENARIO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The following document is a brief description of all the work done for the </w:t>
      </w:r>
      <w:r w:rsidDel="00000000" w:rsidR="00000000" w:rsidRPr="00000000">
        <w:rPr>
          <w:rtl w:val="0"/>
        </w:rPr>
        <w:t xml:space="preserve">Teaching Scenario presentation</w:t>
      </w:r>
      <w:r w:rsidDel="00000000" w:rsidR="00000000" w:rsidRPr="00000000">
        <w:rPr>
          <w:rtl w:val="0"/>
        </w:rPr>
        <w:t xml:space="preserve"> for the international meeting in Rethymno, about the topic: European Parliament - Culture, education and sport.</w:t>
      </w:r>
    </w:p>
    <w:p w:rsidR="00000000" w:rsidDel="00000000" w:rsidP="00000000" w:rsidRDefault="00000000" w:rsidRPr="00000000" w14:paraId="00000005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333333"/>
          <w:highlight w:val="white"/>
        </w:rPr>
      </w:pPr>
      <w:r w:rsidDel="00000000" w:rsidR="00000000" w:rsidRPr="00000000">
        <w:rPr>
          <w:b w:val="1"/>
          <w:color w:val="3c78d8"/>
          <w:highlight w:val="white"/>
          <w:rtl w:val="0"/>
        </w:rPr>
        <w:t xml:space="preserve">Topic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:</w:t>
      </w:r>
      <w:r w:rsidDel="00000000" w:rsidR="00000000" w:rsidRPr="00000000">
        <w:rPr>
          <w:color w:val="333333"/>
          <w:highlight w:val="white"/>
          <w:rtl w:val="0"/>
        </w:rPr>
        <w:t xml:space="preserve"> Audiovisual and Media Policy in the EU</w:t>
      </w:r>
    </w:p>
    <w:p w:rsidR="00000000" w:rsidDel="00000000" w:rsidP="00000000" w:rsidRDefault="00000000" w:rsidRPr="00000000" w14:paraId="00000007">
      <w:pPr>
        <w:rPr>
          <w:color w:val="333333"/>
          <w:highlight w:val="white"/>
        </w:rPr>
      </w:pPr>
      <w:r w:rsidDel="00000000" w:rsidR="00000000" w:rsidRPr="00000000">
        <w:rPr>
          <w:b w:val="1"/>
          <w:color w:val="3c78d8"/>
          <w:rtl w:val="0"/>
        </w:rPr>
        <w:t xml:space="preserve">Presentation</w:t>
      </w:r>
      <w:r w:rsidDel="00000000" w:rsidR="00000000" w:rsidRPr="00000000">
        <w:rPr>
          <w:b w:val="1"/>
          <w:color w:val="3c78d8"/>
          <w:rtl w:val="0"/>
        </w:rPr>
        <w:t xml:space="preserve"> time</w:t>
      </w:r>
      <w:r w:rsidDel="00000000" w:rsidR="00000000" w:rsidRPr="00000000">
        <w:rPr>
          <w:b w:val="1"/>
          <w:color w:val="333333"/>
          <w:rtl w:val="0"/>
        </w:rPr>
        <w:t xml:space="preserve">:</w:t>
      </w:r>
      <w:r w:rsidDel="00000000" w:rsidR="00000000" w:rsidRPr="00000000">
        <w:rPr>
          <w:color w:val="333333"/>
          <w:rtl w:val="0"/>
        </w:rPr>
        <w:t xml:space="preserve"> about 30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27.27272727272725" w:lineRule="auto"/>
        <w:jc w:val="left"/>
        <w:rPr>
          <w:rFonts w:ascii="Arial Narrow" w:cs="Arial Narrow" w:eastAsia="Arial Narrow" w:hAnsi="Arial Narrow"/>
          <w:b w:val="1"/>
          <w:color w:val="333333"/>
          <w:highlight w:val="white"/>
        </w:rPr>
      </w:pPr>
      <w:r w:rsidDel="00000000" w:rsidR="00000000" w:rsidRPr="00000000">
        <w:rPr>
          <w:b w:val="1"/>
          <w:color w:val="3c78d8"/>
          <w:highlight w:val="white"/>
          <w:rtl w:val="0"/>
        </w:rPr>
        <w:t xml:space="preserve">Preparation time:</w:t>
      </w:r>
      <w:r w:rsidDel="00000000" w:rsidR="00000000" w:rsidRPr="00000000">
        <w:rPr>
          <w:highlight w:val="white"/>
          <w:rtl w:val="0"/>
        </w:rPr>
        <w:t xml:space="preserve"> many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27.27272727272725" w:lineRule="auto"/>
        <w:jc w:val="left"/>
        <w:rPr>
          <w:b w:val="1"/>
          <w:color w:val="3c78d8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7.27272727272725" w:lineRule="auto"/>
        <w:jc w:val="left"/>
        <w:rPr>
          <w:b w:val="1"/>
          <w:color w:val="3c78d8"/>
          <w:sz w:val="21"/>
          <w:szCs w:val="21"/>
          <w:highlight w:val="white"/>
        </w:rPr>
      </w:pPr>
      <w:r w:rsidDel="00000000" w:rsidR="00000000" w:rsidRPr="00000000">
        <w:rPr>
          <w:b w:val="1"/>
          <w:color w:val="3c78d8"/>
          <w:sz w:val="21"/>
          <w:szCs w:val="21"/>
          <w:highlight w:val="white"/>
          <w:rtl w:val="0"/>
        </w:rPr>
        <w:t xml:space="preserve">AIMS: </w:t>
        <w:tab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27.27272727272725" w:lineRule="auto"/>
        <w:ind w:left="708.6614173228347" w:hanging="141.7322834645671"/>
        <w:jc w:val="left"/>
        <w:rPr>
          <w:rFonts w:ascii="Arial Narrow" w:cs="Arial Narrow" w:eastAsia="Arial Narrow" w:hAnsi="Arial Narrow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color w:val="383733"/>
          <w:highlight w:val="white"/>
          <w:rtl w:val="0"/>
        </w:rPr>
        <w:t xml:space="preserve"> r</w:t>
      </w:r>
      <w:r w:rsidDel="00000000" w:rsidR="00000000" w:rsidRPr="00000000">
        <w:rPr>
          <w:rFonts w:ascii="Arial Narrow" w:cs="Arial Narrow" w:eastAsia="Arial Narrow" w:hAnsi="Arial Narrow"/>
          <w:color w:val="383733"/>
          <w:highlight w:val="white"/>
          <w:rtl w:val="0"/>
        </w:rPr>
        <w:t xml:space="preserve">eflect on how the EU protects its citizens, especially children, as far as  Audiovisual and Media Policy is concerned;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27.27272727272725" w:lineRule="auto"/>
        <w:ind w:left="708.6614173228347" w:hanging="141.7322834645671"/>
        <w:jc w:val="left"/>
        <w:rPr>
          <w:rFonts w:ascii="Arial Narrow" w:cs="Arial Narrow" w:eastAsia="Arial Narrow" w:hAnsi="Arial Narrow"/>
          <w:highlight w:val="white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color w:val="383733"/>
          <w:highlight w:val="white"/>
          <w:rtl w:val="0"/>
        </w:rPr>
        <w:t xml:space="preserve">raise questions about Audiovisual and Media Policy in the EU.</w:t>
      </w:r>
    </w:p>
    <w:p w:rsidR="00000000" w:rsidDel="00000000" w:rsidP="00000000" w:rsidRDefault="00000000" w:rsidRPr="00000000" w14:paraId="0000000D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color w:val="383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27.27272727272725" w:lineRule="auto"/>
        <w:ind w:left="0" w:firstLine="0"/>
        <w:jc w:val="left"/>
        <w:rPr>
          <w:b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c78d8"/>
          <w:sz w:val="24"/>
          <w:szCs w:val="24"/>
          <w:highlight w:val="white"/>
          <w:rtl w:val="0"/>
        </w:rPr>
        <w:t xml:space="preserve">Preparation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27.27272727272725" w:lineRule="auto"/>
        <w:ind w:left="0" w:firstLine="0"/>
        <w:jc w:val="both"/>
        <w:rPr>
          <w:color w:val="383733"/>
          <w:sz w:val="20"/>
          <w:szCs w:val="20"/>
          <w:highlight w:val="white"/>
        </w:rPr>
      </w:pPr>
      <w:r w:rsidDel="00000000" w:rsidR="00000000" w:rsidRPr="00000000">
        <w:rPr>
          <w:color w:val="383733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27.27272727272725" w:lineRule="auto"/>
        <w:ind w:left="0" w:firstLine="0"/>
        <w:jc w:val="both"/>
        <w:rPr>
          <w:color w:val="383733"/>
          <w:highlight w:val="white"/>
        </w:rPr>
      </w:pPr>
      <w:r w:rsidDel="00000000" w:rsidR="00000000" w:rsidRPr="00000000">
        <w:rPr>
          <w:b w:val="1"/>
          <w:color w:val="3c78d8"/>
          <w:sz w:val="20"/>
          <w:szCs w:val="20"/>
          <w:highlight w:val="white"/>
          <w:rtl w:val="0"/>
        </w:rPr>
        <w:t xml:space="preserve">Activity 1</w:t>
      </w:r>
      <w:r w:rsidDel="00000000" w:rsidR="00000000" w:rsidRPr="00000000">
        <w:rPr>
          <w:color w:val="3c78d8"/>
          <w:sz w:val="20"/>
          <w:szCs w:val="20"/>
          <w:highlight w:val="white"/>
          <w:rtl w:val="0"/>
        </w:rPr>
        <w:t xml:space="preserve">-</w:t>
      </w:r>
      <w:r w:rsidDel="00000000" w:rsidR="00000000" w:rsidRPr="00000000">
        <w:rPr>
          <w:color w:val="383733"/>
          <w:highlight w:val="white"/>
          <w:rtl w:val="0"/>
        </w:rPr>
        <w:t xml:space="preserve"> the students researched about the topic and below are some of the  sites/references/material  used for the  elaboration of the work: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http://www.europarl.europa.eu/factsheets/en/sheet/138/audiovisual-and-media-policy</w:t>
        </w:r>
      </w:hyperlink>
      <w:r w:rsidDel="00000000" w:rsidR="00000000" w:rsidRPr="00000000">
        <w:rPr>
          <w:color w:val="383733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383733"/>
          <w:sz w:val="20"/>
          <w:szCs w:val="20"/>
          <w:highlight w:val="white"/>
          <w:u w:val="none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https://ec.europa.eu/digital-single-market/en/audiovisual-media-services-directive-avmsd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383733"/>
          <w:sz w:val="20"/>
          <w:szCs w:val="20"/>
          <w:highlight w:val="white"/>
          <w:u w:val="non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https://www.ebu.ch/legal-policy/avmsd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383733"/>
          <w:sz w:val="20"/>
          <w:szCs w:val="20"/>
          <w:highlight w:val="white"/>
          <w:u w:val="none"/>
        </w:rPr>
      </w:pP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https://ec.europa.eu/commission/presscorner/detail/el/MEMO_16_1895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383733"/>
          <w:sz w:val="20"/>
          <w:szCs w:val="20"/>
          <w:highlight w:val="white"/>
          <w:u w:val="none"/>
        </w:rPr>
      </w:pPr>
      <w:hyperlink r:id="rId10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https://www.consilium.europa.eu/en/press/press-releases/2018/11/06/less-hate-speech-and-more-european-content-on-video-streaming-services-council-adopts-new-eu-rules/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color w:val="383733"/>
          <w:sz w:val="20"/>
          <w:szCs w:val="20"/>
          <w:highlight w:val="white"/>
          <w:u w:val="none"/>
        </w:rPr>
      </w:pPr>
      <w:hyperlink r:id="rId11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https://youtu.be/mH3hnlpzfSI</w:t>
        </w:r>
      </w:hyperlink>
      <w:r w:rsidDel="00000000" w:rsidR="00000000" w:rsidRPr="00000000">
        <w:rPr>
          <w:color w:val="1155cc"/>
          <w:sz w:val="20"/>
          <w:szCs w:val="20"/>
          <w:highlight w:val="white"/>
          <w:u w:val="single"/>
          <w:rtl w:val="0"/>
        </w:rPr>
        <w:t xml:space="preserve">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sz w:val="20"/>
          <w:szCs w:val="20"/>
          <w:highlight w:val="white"/>
        </w:rPr>
      </w:pPr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https://youtu.be/hueGQ_mx4t0</w:t>
        </w:r>
      </w:hyperlink>
      <w:r w:rsidDel="00000000" w:rsidR="00000000" w:rsidRPr="00000000">
        <w:rPr>
          <w:color w:val="1155cc"/>
          <w:sz w:val="20"/>
          <w:szCs w:val="20"/>
          <w:highlight w:val="white"/>
          <w:u w:val="single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sz w:val="20"/>
          <w:szCs w:val="20"/>
          <w:highlight w:val="white"/>
        </w:rPr>
      </w:pPr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https://youtu.be/_0uVgkaTZfw</w:t>
        </w:r>
      </w:hyperlink>
      <w:r w:rsidDel="00000000" w:rsidR="00000000" w:rsidRPr="00000000">
        <w:rPr>
          <w:color w:val="383733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383733"/>
          <w:highlight w:val="white"/>
        </w:rPr>
      </w:pPr>
      <w:r w:rsidDel="00000000" w:rsidR="00000000" w:rsidRPr="00000000">
        <w:rPr>
          <w:b w:val="1"/>
          <w:color w:val="3c78d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c78d8"/>
          <w:sz w:val="20"/>
          <w:szCs w:val="20"/>
          <w:highlight w:val="white"/>
          <w:rtl w:val="0"/>
        </w:rPr>
        <w:t xml:space="preserve"> Activity 2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383733"/>
          <w:highlight w:val="white"/>
          <w:rtl w:val="0"/>
        </w:rPr>
        <w:t xml:space="preserve">students, in groups, selected the researched information and organized a written work with the main ideas about the topic;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color w:val="3c78d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c78d8"/>
          <w:sz w:val="20"/>
          <w:szCs w:val="20"/>
          <w:highlight w:val="white"/>
          <w:rtl w:val="0"/>
        </w:rPr>
        <w:t xml:space="preserve"> Activity 3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students and teachers produced a prezi presentation ;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383733"/>
          <w:highlight w:val="white"/>
        </w:rPr>
      </w:pPr>
      <w:r w:rsidDel="00000000" w:rsidR="00000000" w:rsidRPr="00000000">
        <w:rPr>
          <w:b w:val="1"/>
          <w:color w:val="3c78d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c78d8"/>
          <w:sz w:val="20"/>
          <w:szCs w:val="20"/>
          <w:highlight w:val="white"/>
          <w:rtl w:val="0"/>
        </w:rPr>
        <w:t xml:space="preserve"> Activity 4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students/teachers created a crossword with words related to the key ideas of the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color w:val="3837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27.27272727272725" w:lineRule="auto"/>
        <w:ind w:left="0" w:firstLine="0"/>
        <w:jc w:val="left"/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Teaching scenario presentation</w:t>
      </w:r>
      <w:r w:rsidDel="00000000" w:rsidR="00000000" w:rsidRPr="00000000">
        <w:rPr>
          <w:b w:val="1"/>
          <w:color w:val="1155cc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line="327.27272727272725" w:lineRule="auto"/>
        <w:ind w:left="0" w:firstLine="0"/>
        <w:jc w:val="left"/>
        <w:rPr>
          <w:b w:val="1"/>
          <w:color w:val="3c78d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27.27272727272725" w:lineRule="auto"/>
        <w:ind w:left="0" w:firstLine="0"/>
        <w:jc w:val="left"/>
        <w:rPr>
          <w:b w:val="1"/>
          <w:color w:val="3c78d8"/>
          <w:highlight w:val="white"/>
        </w:rPr>
      </w:pPr>
      <w:r w:rsidDel="00000000" w:rsidR="00000000" w:rsidRPr="00000000">
        <w:rPr>
          <w:b w:val="1"/>
          <w:color w:val="3c78d8"/>
          <w:highlight w:val="white"/>
          <w:rtl w:val="0"/>
        </w:rPr>
        <w:t xml:space="preserve"> Activities:</w:t>
      </w:r>
    </w:p>
    <w:p w:rsidR="00000000" w:rsidDel="00000000" w:rsidP="00000000" w:rsidRDefault="00000000" w:rsidRPr="00000000" w14:paraId="00000020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c78d8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  <w:rtl w:val="0"/>
        </w:rPr>
        <w:t xml:space="preserve">. First, the group of 6 Portuguese students did a prezi presentation on  the topic,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Audiovisual and Media Policy in the EU</w:t>
      </w:r>
      <w:r w:rsidDel="00000000" w:rsidR="00000000" w:rsidRPr="00000000"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  <w:rtl w:val="0"/>
        </w:rPr>
        <w:t xml:space="preserve">, based on questions/answers;</w:t>
      </w:r>
    </w:p>
    <w:p w:rsidR="00000000" w:rsidDel="00000000" w:rsidP="00000000" w:rsidRDefault="00000000" w:rsidRPr="00000000" w14:paraId="00000021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b w:val="1"/>
          <w:color w:val="383733"/>
          <w:sz w:val="20"/>
          <w:szCs w:val="20"/>
          <w:highlight w:val="white"/>
        </w:rPr>
      </w:pPr>
      <w:hyperlink r:id="rId14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https://drive.google.com/open?id=1ygK9gEDXJ8EEOjqAwxQ_tzsRvrluf60y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c78d8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  <w:rtl w:val="0"/>
        </w:rPr>
        <w:t xml:space="preserve">. Then, the group presented a short video to clarify the main ideas of the work;</w:t>
      </w:r>
    </w:p>
    <w:p w:rsidR="00000000" w:rsidDel="00000000" w:rsidP="00000000" w:rsidRDefault="00000000" w:rsidRPr="00000000" w14:paraId="00000023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color w:val="383733"/>
          <w:sz w:val="20"/>
          <w:szCs w:val="20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https://youtu.be/mH3hnlpzfSI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27.27272727272725" w:lineRule="auto"/>
        <w:ind w:left="0" w:firstLine="0"/>
        <w:jc w:val="left"/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c78d8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Arial Narrow" w:cs="Arial Narrow" w:eastAsia="Arial Narrow" w:hAnsi="Arial Narrow"/>
          <w:b w:val="1"/>
          <w:color w:val="383733"/>
          <w:sz w:val="24"/>
          <w:szCs w:val="24"/>
          <w:highlight w:val="white"/>
          <w:rtl w:val="0"/>
        </w:rPr>
        <w:t xml:space="preserve"> Finally, the group shared with the audience a crossword game to test the understanding of their work. </w:t>
      </w:r>
    </w:p>
    <w:p w:rsidR="00000000" w:rsidDel="00000000" w:rsidP="00000000" w:rsidRDefault="00000000" w:rsidRPr="00000000" w14:paraId="00000025">
      <w:pPr>
        <w:spacing w:line="327.27272727272725" w:lineRule="auto"/>
        <w:ind w:left="0" w:firstLine="0"/>
        <w:jc w:val="left"/>
        <w:rPr>
          <w:rFonts w:ascii="Roboto" w:cs="Roboto" w:eastAsia="Roboto" w:hAnsi="Roboto"/>
          <w:color w:val="191919"/>
          <w:sz w:val="24"/>
          <w:szCs w:val="24"/>
        </w:rPr>
      </w:pPr>
      <w:hyperlink r:id="rId16">
        <w:r w:rsidDel="00000000" w:rsidR="00000000" w:rsidRPr="00000000">
          <w:rPr>
            <w:rFonts w:ascii="Arial Narrow" w:cs="Arial Narrow" w:eastAsia="Arial Narrow" w:hAnsi="Arial Narrow"/>
            <w:color w:val="1155cc"/>
            <w:highlight w:val="white"/>
            <w:u w:val="single"/>
            <w:rtl w:val="0"/>
          </w:rPr>
          <w:t xml:space="preserve">https://drive.google.com/open?id=1dGuxXSaH0L0dJw45IQa_dFT53gbTI2st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552.5196850393706" w:top="141.73228346456693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color w:val="3c78d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color w:val="3c78d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mH3hnlpzfSI" TargetMode="External"/><Relationship Id="rId10" Type="http://schemas.openxmlformats.org/officeDocument/2006/relationships/hyperlink" Target="https://www.consilium.europa.eu/en/press/press-releases/2018/11/06/less-hate-speech-and-more-european-content-on-video-streaming-services-council-adopts-new-eu-rules/" TargetMode="External"/><Relationship Id="rId13" Type="http://schemas.openxmlformats.org/officeDocument/2006/relationships/hyperlink" Target="https://youtu.be/_0uVgkaTZfw" TargetMode="External"/><Relationship Id="rId12" Type="http://schemas.openxmlformats.org/officeDocument/2006/relationships/hyperlink" Target="https://youtu.be/hueGQ_mx4t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.europa.eu/commission/presscorner/detail/el/MEMO_16_1895" TargetMode="External"/><Relationship Id="rId15" Type="http://schemas.openxmlformats.org/officeDocument/2006/relationships/hyperlink" Target="https://youtu.be/mH3hnlpzfSI" TargetMode="External"/><Relationship Id="rId14" Type="http://schemas.openxmlformats.org/officeDocument/2006/relationships/hyperlink" Target="https://drive.google.com/open?id=1ygK9gEDXJ8EEOjqAwxQ_tzsRvrluf60y" TargetMode="External"/><Relationship Id="rId16" Type="http://schemas.openxmlformats.org/officeDocument/2006/relationships/hyperlink" Target="https://drive.google.com/open?id=1dGuxXSaH0L0dJw45IQa_dFT53gbTI2s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uroparl.europa.eu/factsheets/en/sheet/138/audiovisual-and-media-policy" TargetMode="External"/><Relationship Id="rId7" Type="http://schemas.openxmlformats.org/officeDocument/2006/relationships/hyperlink" Target="https://ec.europa.eu/digital-single-market/en/audiovisual-media-services-directive-avmsd" TargetMode="External"/><Relationship Id="rId8" Type="http://schemas.openxmlformats.org/officeDocument/2006/relationships/hyperlink" Target="https://www.ebu.ch/legal-policy/avms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